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  <w:spacing w:before="0"/>
        <w:ind w:left="0" w:right="0" w:firstLine="0"/>
        <w:jc w:val="left"/>
        <w:rPr>
          <w:b w:val="1"/>
          <w:bCs w:val="1"/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Antragssteller:innen</w:t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Jeanette Gehlert (Alumna), Philipp Jaeger (Wuppertal|Manitoba), Manuel L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a-DK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ngle (Uni Wien), Merten Dahlkemper (Alumnus|jDPG|G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ttingen|CERN)</w:t>
      </w:r>
    </w:p>
    <w:p>
      <w:pPr>
        <w:pStyle w:val="Standard"/>
        <w:bidi w:val="0"/>
        <w:spacing w:before="0"/>
        <w:ind w:left="0" w:right="0" w:firstLine="0"/>
        <w:jc w:val="left"/>
        <w:rPr>
          <w:b w:val="1"/>
          <w:bCs w:val="1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</w:pPr>
    </w:p>
    <w:p>
      <w:pPr>
        <w:pStyle w:val="Standard"/>
        <w:bidi w:val="0"/>
        <w:spacing w:before="0"/>
        <w:ind w:left="0" w:right="0" w:firstLine="0"/>
        <w:jc w:val="left"/>
        <w:rPr>
          <w:b w:val="1"/>
          <w:bCs w:val="1"/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Textvorschlag Positionspapier</w:t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Die ZaPF spricht sich daf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r aus, dass Studierende im Rahmen des Praktikums bereits ab dem Bachelor-Studium lernen, wie Daten nach den FAIR-Prinzipien [FAIR] erhoben, gespeichert und ver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ffentlicht werden. Diese Kompetenz ist Voraussetzung fuer datenbasierte Zusammenarbeit, etwa im Kontext der NFDI-Initiative, in der die ZaPF grosse Chances sieht [NFDI]. Sie sind unter anderem in den Arbeitsgebieten der Einbindung in die Lehre und Ausbildung der Antr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ge der NFDI-Konsortien </w:t>
      </w:r>
      <w:r>
        <w:rPr>
          <w:i w:val="1"/>
          <w:iCs w:val="1"/>
          <w:outline w:val="0"/>
          <w:color w:val="333333"/>
          <w:rtl w:val="0"/>
          <w:lang w:val="en-US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NFDI4Phys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, </w:t>
      </w:r>
      <w:r>
        <w:rPr>
          <w:i w:val="1"/>
          <w:iCs w:val="1"/>
          <w:outline w:val="0"/>
          <w:color w:val="333333"/>
          <w:rtl w:val="0"/>
          <w:lang w:val="en-US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PUNCH4NFDI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 oder </w:t>
      </w:r>
      <w:r>
        <w:rPr>
          <w:i w:val="1"/>
          <w:iCs w:val="1"/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FAIRMAT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 [NFDI4PHYS, FAIRMAT, PUNCH] und vielen anderen formuliert.</w:t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Studierende sollten nach M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glichkeit schrittweise in die vollst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ndige, nachvollziehbare und korrekte Daten- und Metadatenerfassung eingef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hrt werden.</w:t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Dar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berhinaus sollen Studierende den Umgang mit Datenrepositorien kennenlernen, um dadurch in die langfristige Speicherung von Forschungsdaten eingef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hrt zu werden [ResoOS]. Neben offenen Repositorien wie Zenodo [ZENODO] k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nnen dies auch universit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tseigene Datenrepositorien sein [GROData]. Um den Wert offener Datenquellen kennenzulernen, sollen diese Repositorien auch dazu verwendet werden, fremde Daten nachzunutzen. Hierbei sollte insbesondere auf Aspekte wie Lizenzen oder korrekte Datenzitation eingegangen werden.</w:t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In den Praktika soll Studierenden die M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glichkeit gegeben werden, Daten sowohl von ihren Kommiliton:innen, als auch der vorangegangenen Kohorten einzusehen und mit auszuwerten, um Messfehler besser einsch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tzen zu k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nnen und die Diskussion von Versuchen besser gestalten zu k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nnen. Au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ß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erdem sollen Studierende die M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glichkeit erhalten, in einem Semester aufgenommene Daten eines Versuchs zu speichern und diese Daten dann im darauffolgenden Semester statistisch gemeinsam mit einem gr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öß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eren Datensatz auszuwerten. Zus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tzlich kann dann zwischen verschiedenen Ausgangsbedingungen und Aufbauten verglichen und der Einfluss verschiedener Parameter bestimmt werden.</w:t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In Grund- und Anf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nger:innenpraktika ist diese Praxis ein </w:t>
      </w:r>
      <w:r>
        <w:rPr>
          <w:outline w:val="0"/>
          <w:color w:val="333333"/>
          <w:rtl w:val="1"/>
          <w:lang w:val="ar-SA" w:bidi="ar-SA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Grundstein f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r gutes wissenschaftliches Arbeiten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” 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[Grund], wohingegen sie besonders in umfangreicheren Fortgeschrittenenpraktika als Vorbereitung auf </w:t>
      </w:r>
      <w:r>
        <w:rPr>
          <w:outline w:val="0"/>
          <w:color w:val="333333"/>
          <w:rtl w:val="1"/>
          <w:lang w:val="ar-SA" w:bidi="ar-SA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die aktuelle Laborpraxis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” 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[Fort] und </w:t>
      </w:r>
      <w:r>
        <w:rPr>
          <w:outline w:val="0"/>
          <w:color w:val="333333"/>
          <w:rtl w:val="1"/>
          <w:lang w:val="ar-SA" w:bidi="ar-SA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das korrekte wissenschaftliche Arbeiten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” 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[Fort] hilfreich ist.</w:t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Bisher sind die Daten, die im (Anf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nger:innen-)Praktikum erhoben werden, weder nachvollziehbar noch vollst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ndig gespeichert. Somit kann der Lerneffekt des Praktikums in Bezug auf die Datenerfassung und -speicherung als eher gering eingesch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tzt werden. Dabei bieten diese Praktika oft die einzige M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glichkeit, diese vor Forschungarbeiten zu 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ben.</w:t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In letzter Konsequenz profitieren hiervon neben den Studierenden durch einen abwechslungsreicheren Praktikumsbetrieb und zus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tzlichen Kompetenzen auch die Forschungsgruppen, denen die Studierenden w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hrend ihren Projektphasen angeh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ren. Ein wichtiger Teil nachhaltiger Forschung ist, dass Forschungsdaten nicht nur langfristig verf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gbar, sondern vor allen Dingen f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r andere Wissenschaftler:innen verst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ndlich und nutzbar bleiben.</w:t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Gerade im aufkeimenden </w:t>
      </w:r>
      <w:r>
        <w:rPr>
          <w:outline w:val="0"/>
          <w:color w:val="333333"/>
          <w:rtl w:val="1"/>
          <w:lang w:val="ar-SA" w:bidi="ar-SA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Post-Truth-Zeitalter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” 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kommt Open Science eine kaum zu 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bersch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tzende gesellschaftliche Bedeutung zu [SpringerOS]. Wissenschaftler:innen von morgen sollten deshalb so fr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h wie m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glich an das Konzept herangef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hrt werden um so </w:t>
      </w:r>
      <w:r>
        <w:rPr>
          <w:outline w:val="0"/>
          <w:color w:val="333333"/>
          <w:rtl w:val="1"/>
          <w:lang w:val="ar-SA" w:bidi="ar-SA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Open Science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” 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als </w:t>
      </w:r>
      <w:r>
        <w:rPr>
          <w:outline w:val="0"/>
          <w:color w:val="333333"/>
          <w:rtl w:val="1"/>
          <w:lang w:val="ar-SA" w:bidi="ar-SA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rtl w:val="0"/>
          <w:lang w:val="en-US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Science just done right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” 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zu verinnerlichen.</w:t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pt-PT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[FAIR]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 </w: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begin" w:fldLock="0"/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instrText xml:space="preserve"> HYPERLINK "https://www.go-fair.org/fair-principles/"</w:instrTex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separate" w:fldLock="0"/>
      </w:r>
      <w:r>
        <w:rPr>
          <w:rStyle w:val="Hyperlink.0"/>
          <w:outline w:val="0"/>
          <w:color w:val="3379b7"/>
          <w:rtl w:val="0"/>
          <w:lang w:val="fr-FR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t>https://www.go-fair.org/fair-principles/</w:t>
      </w:r>
      <w:r>
        <w:rPr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end" w:fldLock="0"/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en-US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[NFDI] </w: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begin" w:fldLock="0"/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instrText xml:space="preserve"> HYPERLINK "https://zapfev.de/resolutionen/wise19/nfdi/nfdi.pdf"</w:instrTex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separate" w:fldLock="0"/>
      </w:r>
      <w:r>
        <w:rPr>
          <w:rStyle w:val="Hyperlink.0"/>
          <w:outline w:val="0"/>
          <w:color w:val="3379b7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t>https://zapfev.de/resolutionen/wise19/nfdi/nfdi.pdf</w:t>
      </w:r>
      <w:r>
        <w:rPr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end" w:fldLock="0"/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pt-PT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[PUNCH] </w: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begin" w:fldLock="0"/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instrText xml:space="preserve"> HYPERLINK "https://www.dfg.de/download/pdf/foerderung/programme/nfdi/absichtserklaerungen_2020/2020_nfdi_punch4nfdi.pdf"</w:instrTex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separate" w:fldLock="0"/>
      </w:r>
      <w:r>
        <w:rPr>
          <w:rStyle w:val="Hyperlink.0"/>
          <w:outline w:val="0"/>
          <w:color w:val="3379b7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t>https://www.dfg.de/download/pdf/foerderung/programme/nfdi/absichtserklaerungen_2020/2020_nfdi_punch4nfdi.pdf</w:t>
      </w:r>
      <w:r>
        <w:rPr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end" w:fldLock="0"/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[FAIRMAT] </w: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begin" w:fldLock="0"/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instrText xml:space="preserve"> HYPERLINK "https://doi.org/10.5281/zenodo.4074973"</w:instrTex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separate" w:fldLock="0"/>
      </w:r>
      <w:r>
        <w:rPr>
          <w:rStyle w:val="Hyperlink.0"/>
          <w:outline w:val="0"/>
          <w:color w:val="3379b7"/>
          <w:rtl w:val="0"/>
          <w:lang w:val="pt-PT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t>https://doi.org/10.5281/zenodo.4074973</w:t>
      </w:r>
      <w:r>
        <w:rPr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end" w:fldLock="0"/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en-US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[NFDI4PHYS] </w: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begin" w:fldLock="0"/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instrText xml:space="preserve"> HYPERLINK "https://www.dfg.de/en/research_funding/programmes/nfdi/letters_of_intent_2020/index.html"</w:instrTex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separate" w:fldLock="0"/>
      </w:r>
      <w:r>
        <w:rPr>
          <w:rStyle w:val="Hyperlink.0"/>
          <w:outline w:val="0"/>
          <w:color w:val="3379b7"/>
          <w:rtl w:val="0"/>
          <w:lang w:val="en-US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t>https://www.dfg.de/en/research_funding/programmes/nfdi/letters_of_intent_2020/index.html</w:t>
      </w:r>
      <w:r>
        <w:rPr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end" w:fldLock="0"/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pt-PT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[ZENODO] </w: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begin" w:fldLock="0"/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instrText xml:space="preserve"> HYPERLINK "https://www.zenodo.org/"</w:instrTex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separate" w:fldLock="0"/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t>https://www.zenodo.org</w:t>
      </w:r>
      <w:r>
        <w:rPr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end" w:fldLock="0"/>
      </w:r>
    </w:p>
    <w:p>
      <w:pPr>
        <w:pStyle w:val="Standard"/>
        <w:bidi w:val="0"/>
        <w:spacing w:before="0"/>
        <w:ind w:left="0" w:right="0" w:firstLine="0"/>
        <w:jc w:val="left"/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[GROData] Beispielsweise gibt es an der Universit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t G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ttingen das Portal GRO.Data: </w:t>
      </w:r>
      <w:r>
        <w:rPr>
          <w:rStyle w:val="Hyperlink.1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begin" w:fldLock="0"/>
      </w:r>
      <w:r>
        <w:rPr>
          <w:rStyle w:val="Hyperlink.1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instrText xml:space="preserve"> HYPERLINK "https://data.goettingen-research-online.de/"</w:instrText>
      </w:r>
      <w:r>
        <w:rPr>
          <w:rStyle w:val="Hyperlink.1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separate" w:fldLock="0"/>
      </w:r>
      <w:r>
        <w:rPr>
          <w:rStyle w:val="Hyperlink.1"/>
          <w:outline w:val="0"/>
          <w:color w:val="3379b7"/>
          <w:rtl w:val="0"/>
          <w:lang w:val="en-US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t>https://data.goettingen-research-online.de/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</w:p>
    <w:p>
      <w:pPr>
        <w:pStyle w:val="Standard"/>
        <w:bidi w:val="0"/>
        <w:spacing w:before="0"/>
        <w:ind w:left="0" w:right="0" w:firstLine="0"/>
        <w:jc w:val="left"/>
        <w:rPr>
          <w:rStyle w:val="Ohne"/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Ohne"/>
          <w:outline w:val="0"/>
          <w:color w:val="333333"/>
          <w:rtl w:val="0"/>
          <w:lang w:val="pt-PT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[ResoOS] </w: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begin" w:fldLock="0"/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instrText xml:space="preserve"> HYPERLINK "https://zapfev.de/resolutionen/wise18/Reso_Open_Science/Resolution_Open_Science.pdf"</w:instrTex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separate" w:fldLock="0"/>
      </w:r>
      <w:r>
        <w:rPr>
          <w:rStyle w:val="Hyperlink.0"/>
          <w:outline w:val="0"/>
          <w:color w:val="3379b7"/>
          <w:rtl w:val="0"/>
          <w:lang w:val="en-US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t>https://zapfev.de/resolutionen/wise18/Reso_Open_Science/Resolution_Open_Science.pdf</w:t>
      </w:r>
      <w:r>
        <w:rPr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end" w:fldLock="0"/>
      </w:r>
    </w:p>
    <w:p>
      <w:pPr>
        <w:pStyle w:val="Standard"/>
        <w:bidi w:val="0"/>
        <w:spacing w:before="0"/>
        <w:ind w:left="0" w:right="0" w:firstLine="0"/>
        <w:jc w:val="left"/>
        <w:rPr>
          <w:rStyle w:val="Ohne"/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Ohne"/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[Grund] </w: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begin" w:fldLock="0"/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instrText xml:space="preserve"> HYPERLINK "https://zapfev.de/resolutionen/sose17/Praktika/PosPapier_Praktika.pdf"</w:instrTex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separate" w:fldLock="0"/>
      </w:r>
      <w:r>
        <w:rPr>
          <w:rStyle w:val="Hyperlink.0"/>
          <w:outline w:val="0"/>
          <w:color w:val="3379b7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t>https://zapfev.de/resolutionen/sose17/Praktika/PosPapier_Praktika.pdf</w:t>
      </w:r>
      <w:r>
        <w:rPr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end" w:fldLock="0"/>
      </w:r>
    </w:p>
    <w:p>
      <w:pPr>
        <w:pStyle w:val="Standard"/>
        <w:bidi w:val="0"/>
        <w:spacing w:before="0"/>
        <w:ind w:left="0" w:right="0" w:firstLine="0"/>
        <w:jc w:val="left"/>
        <w:rPr>
          <w:rStyle w:val="Ohne"/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Ohne"/>
          <w:outline w:val="0"/>
          <w:color w:val="333333"/>
          <w:rtl w:val="0"/>
          <w:lang w:val="pt-PT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[Fort] </w: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begin" w:fldLock="0"/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instrText xml:space="preserve"> HYPERLINK "https://zapfev.de/resolutionen/sose19/Fortgeschrittenenpraktika/Fortgeschrittenenpraktika.pdf"</w:instrTex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separate" w:fldLock="0"/>
      </w:r>
      <w:r>
        <w:rPr>
          <w:rStyle w:val="Hyperlink.0"/>
          <w:outline w:val="0"/>
          <w:color w:val="3379b7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t>https://zapfev.de/resolutionen/sose19/Fortgeschrittenenpraktika/Fortgeschrittenenpraktika.pdf</w:t>
      </w:r>
      <w:r>
        <w:rPr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end" w:fldLock="0"/>
      </w:r>
    </w:p>
    <w:p>
      <w:pPr>
        <w:pStyle w:val="Standard"/>
        <w:bidi w:val="0"/>
        <w:spacing w:before="0"/>
        <w:ind w:left="0" w:right="0" w:firstLine="0"/>
        <w:jc w:val="left"/>
        <w:rPr>
          <w:rStyle w:val="Ohne"/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Style w:val="Ohne"/>
          <w:outline w:val="0"/>
          <w:color w:val="333333"/>
          <w:rtl w:val="0"/>
          <w:lang w:val="en-US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 xml:space="preserve">[SpringerOS] </w: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begin" w:fldLock="0"/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instrText xml:space="preserve"> HYPERLINK "https://doi.org/10.1007/978-981-15-4276-3_2"</w:instrText>
      </w:r>
      <w:r>
        <w:rPr>
          <w:rStyle w:val="Hyperlink.0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separate" w:fldLock="0"/>
      </w:r>
      <w:r>
        <w:rPr>
          <w:rStyle w:val="Hyperlink.0"/>
          <w:outline w:val="0"/>
          <w:color w:val="3379b7"/>
          <w:rtl w:val="0"/>
          <w:lang w:val="en-US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t>https://doi.org/10.1007/978-981-15-4276-3_2</w:t>
      </w:r>
      <w:r>
        <w:rPr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  <w:fldChar w:fldCharType="end" w:fldLock="0"/>
      </w:r>
    </w:p>
    <w:p>
      <w:pPr>
        <w:pStyle w:val="Standard"/>
        <w:bidi w:val="0"/>
        <w:spacing w:before="0"/>
        <w:ind w:left="0" w:right="0" w:firstLine="0"/>
        <w:jc w:val="left"/>
        <w:rPr>
          <w:b w:val="1"/>
          <w:bCs w:val="1"/>
          <w:outline w:val="0"/>
          <w:color w:val="3379b7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7AB7"/>
            </w14:solidFill>
          </w14:textFill>
        </w:rPr>
      </w:pPr>
    </w:p>
    <w:p>
      <w:pPr>
        <w:pStyle w:val="Standard"/>
        <w:bidi w:val="0"/>
        <w:spacing w:before="0"/>
        <w:ind w:left="0" w:right="0" w:firstLine="0"/>
        <w:jc w:val="left"/>
        <w:rPr>
          <w:b w:val="1"/>
          <w:bCs w:val="1"/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Begr</w:t>
      </w:r>
      <w:r>
        <w:rPr>
          <w:b w:val="1"/>
          <w:bCs w:val="1"/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ndung</w:t>
      </w:r>
    </w:p>
    <w:p>
      <w:pPr>
        <w:pStyle w:val="Standard"/>
        <w:bidi w:val="0"/>
        <w:spacing w:before="0"/>
        <w:ind w:left="0" w:right="0" w:firstLine="0"/>
        <w:jc w:val="left"/>
        <w:rPr>
          <w:rtl w:val="0"/>
        </w:rPr>
      </w:pP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Eine gesonderte Begr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ndung ist nicht n</w:t>
      </w:r>
      <w:r>
        <w:rPr>
          <w:outline w:val="0"/>
          <w:color w:val="333333"/>
          <w:rtl w:val="0"/>
          <w:lang w:val="sv-S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tig, da die Punkte im Positionspapier selbst begr</w:t>
      </w:r>
      <w:r>
        <w:rPr>
          <w:outline w:val="0"/>
          <w:color w:val="333333"/>
          <w:rtl w:val="0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rtl w:val="0"/>
          <w:lang w:val="de-DE"/>
          <w14:shadow w14:sx="100000" w14:sy="100000" w14:kx="0" w14:ky="0" w14:algn="tl" w14:blurRad="355600" w14:dist="0" w14:dir="0">
            <w14:srgbClr w14:val="000000">
              <w14:alpha w14:val="100000"/>
            </w14:srgbClr>
          </w14:shadow>
          <w14:textFill>
            <w14:solidFill>
              <w14:srgbClr w14:val="333333"/>
            </w14:solidFill>
          </w14:textFill>
        </w:rPr>
        <w:t>ndet werden.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Ohne">
    <w:name w:val="Ohne"/>
  </w:style>
  <w:style w:type="character" w:styleId="Hyperlink.1">
    <w:name w:val="Hyperlink.1"/>
    <w:basedOn w:val="Ohne"/>
    <w:next w:val="Hyperlink.1"/>
    <w:rPr>
      <w:outline w:val="0"/>
      <w:color w:val="3379b7"/>
      <w14:textFill>
        <w14:solidFill>
          <w14:srgbClr w14:val="337AB7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